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15" w:rsidRDefault="00CF1C15" w:rsidP="00CF1C15">
      <w:bookmarkStart w:id="0" w:name="_GoBack"/>
      <w:bookmarkEnd w:id="0"/>
    </w:p>
    <w:p w:rsidR="00CF1C15" w:rsidRDefault="00CF1C15" w:rsidP="00CF1C15">
      <w:pPr>
        <w:pStyle w:val="Style8"/>
        <w:widowControl/>
        <w:spacing w:before="120" w:line="317" w:lineRule="exact"/>
        <w:rPr>
          <w:rStyle w:val="FontStyle34"/>
        </w:rPr>
      </w:pPr>
      <w:r>
        <w:rPr>
          <w:rStyle w:val="FontStyle34"/>
        </w:rPr>
        <w:t xml:space="preserve">МИКРОЗАЙМЫ </w:t>
      </w:r>
    </w:p>
    <w:p w:rsidR="00CF1C15" w:rsidRDefault="00CF1C15" w:rsidP="00CF1C15"/>
    <w:p w:rsidR="00CF1C15" w:rsidRDefault="00CF1C15" w:rsidP="00CF1C15">
      <w:pPr>
        <w:rPr>
          <w:rStyle w:val="FontStyle28"/>
        </w:rPr>
      </w:pPr>
      <w:r>
        <w:rPr>
          <w:rStyle w:val="FontStyle28"/>
        </w:rPr>
        <w:t>МИКРОЗАЙМЫ ФОНДА МИКРОФИНАНСИРОВАНИЯ КРАСНОДАРСКОГО КРАЯ</w:t>
      </w:r>
    </w:p>
    <w:p w:rsidR="00CF1C15" w:rsidRDefault="00CF1C15" w:rsidP="00CF1C15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323"/>
      </w:tblGrid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8"/>
              <w:widowControl/>
              <w:spacing w:line="220" w:lineRule="exact"/>
              <w:jc w:val="center"/>
              <w:rPr>
                <w:rStyle w:val="FontStyle28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«СТАРТ»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 xml:space="preserve">2 </w:t>
            </w:r>
            <w:r w:rsidR="00D177C4">
              <w:rPr>
                <w:rStyle w:val="FontStyle28"/>
              </w:rPr>
              <w:t>0</w:t>
            </w:r>
            <w:r>
              <w:rPr>
                <w:rStyle w:val="FontStyle28"/>
                <w:lang w:eastAsia="en-US"/>
              </w:rPr>
              <w:t>00 000 тыс.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7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-  от 3,5%* до 5</w:t>
            </w:r>
            <w:r w:rsidR="00A942CA">
              <w:rPr>
                <w:rStyle w:val="FontStyle28"/>
                <w:lang w:eastAsia="en-US"/>
              </w:rPr>
              <w:t>,50</w:t>
            </w:r>
            <w:r>
              <w:rPr>
                <w:rStyle w:val="FontStyle28"/>
                <w:lang w:eastAsia="en-US"/>
              </w:rPr>
              <w:t xml:space="preserve"> 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8"/>
              <w:widowControl/>
              <w:spacing w:line="220" w:lineRule="exact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9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«ФЕРМЕР»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3 мес. до 24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</w:t>
            </w:r>
            <w:r w:rsidR="00A942CA">
              <w:rPr>
                <w:rStyle w:val="FontStyle28"/>
                <w:lang w:eastAsia="en-US"/>
              </w:rPr>
              <w:t>–</w:t>
            </w:r>
            <w:r>
              <w:rPr>
                <w:rStyle w:val="FontStyle28"/>
                <w:lang w:eastAsia="en-US"/>
              </w:rPr>
              <w:t xml:space="preserve"> </w:t>
            </w:r>
            <w:r w:rsidR="00A942CA">
              <w:rPr>
                <w:rStyle w:val="FontStyle28"/>
                <w:lang w:eastAsia="en-US"/>
              </w:rPr>
              <w:t>5,50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«БИЗНЕС</w:t>
            </w:r>
            <w:r>
              <w:rPr>
                <w:rStyle w:val="FontStyle31"/>
                <w:lang w:eastAsia="en-US"/>
              </w:rPr>
              <w:br/>
              <w:t>ОБОРОТ»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>,00 %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«РЕМЕСЛЕННИК»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Сумма от 100 тыс. до 3 млн. руб.</w:t>
            </w:r>
            <w:r>
              <w:rPr>
                <w:rStyle w:val="FontStyle28"/>
                <w:lang w:eastAsia="en-US"/>
              </w:rPr>
              <w:br/>
              <w:t>Срок от 3 мес. до</w:t>
            </w:r>
            <w:r w:rsidR="00A942CA">
              <w:rPr>
                <w:rStyle w:val="FontStyle28"/>
                <w:lang w:eastAsia="en-US"/>
              </w:rPr>
              <w:t xml:space="preserve"> 24 мес.</w:t>
            </w:r>
            <w:r w:rsidR="00A942CA">
              <w:rPr>
                <w:rStyle w:val="FontStyle28"/>
                <w:lang w:eastAsia="en-US"/>
              </w:rPr>
              <w:br/>
              <w:t>Процентная ставка – 5,7</w:t>
            </w:r>
            <w:r>
              <w:rPr>
                <w:rStyle w:val="FontStyle28"/>
                <w:lang w:eastAsia="en-US"/>
              </w:rPr>
              <w:t>5 %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«БИЗНЕС</w:t>
            </w:r>
            <w:r>
              <w:rPr>
                <w:rStyle w:val="FontStyle31"/>
                <w:lang w:eastAsia="en-US"/>
              </w:rPr>
              <w:br/>
              <w:t>ИНВЕСТ»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 w:rsidP="00A942CA">
            <w:pPr>
              <w:pStyle w:val="Style6"/>
              <w:widowControl/>
              <w:spacing w:line="220" w:lineRule="exact"/>
              <w:ind w:left="67" w:right="3389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3 мес. до 36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>,00 % годовых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«НОВОТЕХ»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 w:rsidP="00A942CA">
            <w:pPr>
              <w:pStyle w:val="Style6"/>
              <w:widowControl/>
              <w:spacing w:line="220" w:lineRule="exact"/>
              <w:ind w:left="67" w:right="3389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1 мес. до 36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>,00 % годовых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«РАЗВИТИЕ И</w:t>
            </w:r>
            <w:r>
              <w:rPr>
                <w:rStyle w:val="FontStyle31"/>
                <w:lang w:eastAsia="en-US"/>
              </w:rPr>
              <w:br/>
              <w:t>ИННОВАЦИИ»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CF1C15" w:rsidRDefault="00A942CA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 5,75</w:t>
            </w:r>
            <w:r w:rsidR="00CF1C15">
              <w:rPr>
                <w:rStyle w:val="FontStyle28"/>
                <w:lang w:eastAsia="en-US"/>
              </w:rPr>
              <w:t>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«ТОРГОВЛЯ»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Сумма от 100 тыс. до 3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</w:t>
            </w:r>
            <w:r w:rsidR="0049250D">
              <w:rPr>
                <w:rStyle w:val="FontStyle28"/>
                <w:lang w:eastAsia="en-US"/>
              </w:rPr>
              <w:t>7</w:t>
            </w:r>
            <w:r>
              <w:rPr>
                <w:rStyle w:val="FontStyle28"/>
                <w:lang w:eastAsia="en-US"/>
              </w:rPr>
              <w:t xml:space="preserve">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–13,5% годовых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«ПРОМЫШЛЕННИК»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500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7 мес. до 36 мес.</w:t>
            </w:r>
          </w:p>
          <w:p w:rsidR="00CF1C15" w:rsidRDefault="00A942CA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–5,</w:t>
            </w:r>
            <w:r w:rsidR="00CF1C15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>0</w:t>
            </w:r>
            <w:r w:rsidR="00CF1C15">
              <w:rPr>
                <w:rStyle w:val="FontStyle28"/>
                <w:lang w:eastAsia="en-US"/>
              </w:rPr>
              <w:t>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«С/Х КООПЕРАТИВ»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4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49250D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49250D" w:rsidRDefault="0049250D" w:rsidP="0049250D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«О</w:t>
            </w:r>
            <w:r>
              <w:rPr>
                <w:rStyle w:val="FontStyle31"/>
              </w:rPr>
              <w:t>тельер</w:t>
            </w:r>
            <w:r>
              <w:rPr>
                <w:rStyle w:val="FontStyle31"/>
                <w:lang w:eastAsia="en-US"/>
              </w:rPr>
              <w:t>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5,50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532A42" w:rsidTr="00532A42">
        <w:trPr>
          <w:trHeight w:val="1104"/>
        </w:trPr>
        <w:tc>
          <w:tcPr>
            <w:tcW w:w="2410" w:type="dxa"/>
            <w:hideMark/>
          </w:tcPr>
          <w:p w:rsidR="00532A42" w:rsidRDefault="00453561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hyperlink r:id="rId6" w:history="1">
              <w:r w:rsidR="00C94F8D" w:rsidRPr="00C94F8D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lang w:eastAsia="en-US"/>
                </w:rPr>
                <w:t>Специальный (ЧС)</w:t>
              </w:r>
            </w:hyperlink>
          </w:p>
          <w:p w:rsidR="00C94F8D" w:rsidRPr="00C94F8D" w:rsidRDefault="00C94F8D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*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bCs/>
                <w:color w:val="000000"/>
                <w:sz w:val="20"/>
                <w:szCs w:val="20"/>
              </w:rPr>
              <w:t xml:space="preserve">редоставляется 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>пострадавши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 xml:space="preserve"> в результате чрезвычайной ситуации </w:t>
            </w:r>
          </w:p>
        </w:tc>
        <w:tc>
          <w:tcPr>
            <w:tcW w:w="7323" w:type="dxa"/>
            <w:hideMark/>
          </w:tcPr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C94F8D">
              <w:rPr>
                <w:rStyle w:val="FontStyle28"/>
                <w:lang w:eastAsia="en-US"/>
              </w:rPr>
              <w:t>1,5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3 мес. до </w:t>
            </w:r>
            <w:r w:rsidR="00C94F8D">
              <w:rPr>
                <w:rStyle w:val="FontStyle28"/>
                <w:lang w:eastAsia="en-US"/>
              </w:rPr>
              <w:t>24</w:t>
            </w:r>
            <w:r>
              <w:rPr>
                <w:rStyle w:val="FontStyle28"/>
                <w:lang w:eastAsia="en-US"/>
              </w:rPr>
              <w:t xml:space="preserve"> мес.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C94F8D">
              <w:rPr>
                <w:rStyle w:val="FontStyle28"/>
                <w:lang w:eastAsia="en-US"/>
              </w:rPr>
              <w:t>1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основного долга до </w:t>
            </w:r>
            <w:r w:rsidR="00C94F8D">
              <w:rPr>
                <w:rStyle w:val="FontStyle28"/>
                <w:lang w:eastAsia="en-US"/>
              </w:rPr>
              <w:t>12</w:t>
            </w:r>
            <w:r>
              <w:rPr>
                <w:rStyle w:val="FontStyle28"/>
                <w:lang w:eastAsia="en-US"/>
              </w:rPr>
              <w:t xml:space="preserve"> месяцев</w:t>
            </w:r>
          </w:p>
        </w:tc>
      </w:tr>
      <w:tr w:rsidR="00532A42" w:rsidTr="00532A42">
        <w:trPr>
          <w:trHeight w:val="1104"/>
        </w:trPr>
        <w:tc>
          <w:tcPr>
            <w:tcW w:w="2410" w:type="dxa"/>
          </w:tcPr>
          <w:p w:rsidR="00532A42" w:rsidRDefault="00453561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C94F8D" w:rsidRPr="00C94F8D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lang w:eastAsia="en-US"/>
                </w:rPr>
                <w:t>Специальный (Опора)</w:t>
              </w:r>
            </w:hyperlink>
          </w:p>
          <w:p w:rsidR="00EF29A0" w:rsidRPr="00EF29A0" w:rsidRDefault="00EF29A0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t>для субъектов м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сп</w:t>
            </w: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t xml:space="preserve">, имеющих денежные средства в кредитной организации на дату отзыва Банком России </w:t>
            </w: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лицензии на осуществление банковских операций</w:t>
            </w:r>
          </w:p>
        </w:tc>
        <w:tc>
          <w:tcPr>
            <w:tcW w:w="7323" w:type="dxa"/>
          </w:tcPr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lastRenderedPageBreak/>
              <w:t xml:space="preserve">Сумма от 100 тыс. до </w:t>
            </w:r>
            <w:r w:rsidR="00C94F8D">
              <w:rPr>
                <w:rStyle w:val="FontStyle28"/>
                <w:lang w:eastAsia="en-US"/>
              </w:rPr>
              <w:t>3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3 мес. до </w:t>
            </w:r>
            <w:r w:rsidR="00C94F8D">
              <w:rPr>
                <w:rStyle w:val="FontStyle28"/>
                <w:lang w:eastAsia="en-US"/>
              </w:rPr>
              <w:t>2</w:t>
            </w:r>
            <w:r w:rsidR="00C94F8D">
              <w:rPr>
                <w:rStyle w:val="FontStyle28"/>
              </w:rPr>
              <w:t>4</w:t>
            </w:r>
            <w:r>
              <w:rPr>
                <w:rStyle w:val="FontStyle28"/>
                <w:lang w:eastAsia="en-US"/>
              </w:rPr>
              <w:t xml:space="preserve"> мес.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</w:t>
            </w:r>
            <w:r w:rsidR="00C94F8D">
              <w:rPr>
                <w:rStyle w:val="FontStyle28"/>
                <w:lang w:eastAsia="en-US"/>
              </w:rPr>
              <w:t>1</w:t>
            </w:r>
            <w:r w:rsidR="00C94F8D">
              <w:rPr>
                <w:rStyle w:val="FontStyle28"/>
              </w:rPr>
              <w:t>-3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основного долга до </w:t>
            </w:r>
            <w:r w:rsidR="00EF29A0">
              <w:rPr>
                <w:rStyle w:val="FontStyle28"/>
                <w:lang w:eastAsia="en-US"/>
              </w:rPr>
              <w:t>1</w:t>
            </w:r>
            <w:r w:rsidR="00EF29A0">
              <w:rPr>
                <w:rStyle w:val="FontStyle28"/>
              </w:rPr>
              <w:t>2</w:t>
            </w:r>
            <w:r>
              <w:rPr>
                <w:rStyle w:val="FontStyle28"/>
                <w:lang w:eastAsia="en-US"/>
              </w:rPr>
              <w:t xml:space="preserve"> месяцев</w:t>
            </w:r>
          </w:p>
        </w:tc>
      </w:tr>
    </w:tbl>
    <w:p w:rsidR="00CF1C15" w:rsidRDefault="00CF1C15" w:rsidP="00CF1C15"/>
    <w:sectPr w:rsidR="00CF1C15" w:rsidSect="00CB74B4">
      <w:pgSz w:w="11900" w:h="16800"/>
      <w:pgMar w:top="567" w:right="567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241B4"/>
    <w:multiLevelType w:val="hybridMultilevel"/>
    <w:tmpl w:val="E1F2A2A6"/>
    <w:lvl w:ilvl="0" w:tplc="1AC09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834683E"/>
    <w:multiLevelType w:val="hybridMultilevel"/>
    <w:tmpl w:val="10CA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A2"/>
    <w:rsid w:val="00097FDE"/>
    <w:rsid w:val="001422CA"/>
    <w:rsid w:val="001C1D6A"/>
    <w:rsid w:val="00206235"/>
    <w:rsid w:val="002A55D0"/>
    <w:rsid w:val="002A785D"/>
    <w:rsid w:val="00350F0F"/>
    <w:rsid w:val="003A5187"/>
    <w:rsid w:val="00424890"/>
    <w:rsid w:val="00452C58"/>
    <w:rsid w:val="00453561"/>
    <w:rsid w:val="00475F58"/>
    <w:rsid w:val="0049250D"/>
    <w:rsid w:val="00532A42"/>
    <w:rsid w:val="00557D35"/>
    <w:rsid w:val="005803A3"/>
    <w:rsid w:val="005D2D20"/>
    <w:rsid w:val="00602CA2"/>
    <w:rsid w:val="006528C2"/>
    <w:rsid w:val="007D61AF"/>
    <w:rsid w:val="007E6527"/>
    <w:rsid w:val="00841186"/>
    <w:rsid w:val="008C0647"/>
    <w:rsid w:val="008F1AE9"/>
    <w:rsid w:val="00965E8F"/>
    <w:rsid w:val="00982F58"/>
    <w:rsid w:val="009952FE"/>
    <w:rsid w:val="009A2165"/>
    <w:rsid w:val="00A27A7A"/>
    <w:rsid w:val="00A942CA"/>
    <w:rsid w:val="00AC580C"/>
    <w:rsid w:val="00B4495F"/>
    <w:rsid w:val="00B46B6D"/>
    <w:rsid w:val="00BA033D"/>
    <w:rsid w:val="00C67447"/>
    <w:rsid w:val="00C94F8D"/>
    <w:rsid w:val="00CB74B4"/>
    <w:rsid w:val="00CE1CDD"/>
    <w:rsid w:val="00CF1C15"/>
    <w:rsid w:val="00CF56FD"/>
    <w:rsid w:val="00D10EBF"/>
    <w:rsid w:val="00D177C4"/>
    <w:rsid w:val="00D42F4B"/>
    <w:rsid w:val="00D93A12"/>
    <w:rsid w:val="00DB19F0"/>
    <w:rsid w:val="00DC4EA5"/>
    <w:rsid w:val="00E14836"/>
    <w:rsid w:val="00EF29A0"/>
    <w:rsid w:val="00F541E7"/>
    <w:rsid w:val="00F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26231-CE83-47E3-8161-17E98459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EA5"/>
    <w:pPr>
      <w:ind w:left="720"/>
      <w:contextualSpacing/>
    </w:pPr>
  </w:style>
  <w:style w:type="paragraph" w:customStyle="1" w:styleId="Style1">
    <w:name w:val="Style1"/>
    <w:basedOn w:val="a"/>
    <w:uiPriority w:val="99"/>
    <w:rsid w:val="00097FDE"/>
    <w:pPr>
      <w:widowControl w:val="0"/>
      <w:autoSpaceDE w:val="0"/>
      <w:autoSpaceDN w:val="0"/>
      <w:adjustRightInd w:val="0"/>
      <w:spacing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2">
    <w:name w:val="Style2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097FDE"/>
    <w:rPr>
      <w:rFonts w:ascii="Arial" w:hAnsi="Arial" w:cs="Arial"/>
      <w:b/>
      <w:bCs/>
      <w:color w:val="000000"/>
      <w:sz w:val="42"/>
      <w:szCs w:val="42"/>
    </w:rPr>
  </w:style>
  <w:style w:type="character" w:customStyle="1" w:styleId="FontStyle36">
    <w:name w:val="Font Style36"/>
    <w:basedOn w:val="a0"/>
    <w:uiPriority w:val="99"/>
    <w:rsid w:val="00097FDE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4">
    <w:name w:val="Style4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097FDE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2">
    <w:name w:val="Font Style12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">
    <w:name w:val="Font Style14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8">
    <w:name w:val="Style8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097FDE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097FDE"/>
    <w:rPr>
      <w:rFonts w:ascii="Arial" w:hAnsi="Arial" w:cs="Arial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097FDE"/>
    <w:rPr>
      <w:rFonts w:ascii="Arial" w:hAnsi="Arial" w:cs="Arial"/>
      <w:b/>
      <w:bCs/>
      <w:color w:val="000000"/>
      <w:spacing w:val="30"/>
      <w:sz w:val="24"/>
      <w:szCs w:val="24"/>
    </w:rPr>
  </w:style>
  <w:style w:type="character" w:styleId="a5">
    <w:name w:val="Hyperlink"/>
    <w:basedOn w:val="a0"/>
    <w:uiPriority w:val="99"/>
    <w:unhideWhenUsed/>
    <w:rsid w:val="00097F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FD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F1AE9"/>
    <w:rPr>
      <w:rFonts w:ascii="Calibri" w:eastAsia="Times New Roman" w:hAnsi="Calibri" w:cs="Calibri"/>
      <w:lang w:eastAsia="ru-RU"/>
    </w:rPr>
  </w:style>
  <w:style w:type="character" w:styleId="a9">
    <w:name w:val="Emphasis"/>
    <w:basedOn w:val="a0"/>
    <w:uiPriority w:val="20"/>
    <w:qFormat/>
    <w:rsid w:val="009952F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C94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mkk.ru/types/spetsialnyy_opor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mkk.ru/types/spetsialnyy_ch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9CE9F-0DE7-4B5A-8CDA-BEEF29F4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gf-12</dc:creator>
  <cp:lastModifiedBy>Пользователь</cp:lastModifiedBy>
  <cp:revision>2</cp:revision>
  <cp:lastPrinted>2018-10-02T14:28:00Z</cp:lastPrinted>
  <dcterms:created xsi:type="dcterms:W3CDTF">2019-03-25T11:53:00Z</dcterms:created>
  <dcterms:modified xsi:type="dcterms:W3CDTF">2019-03-25T11:53:00Z</dcterms:modified>
</cp:coreProperties>
</file>