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AE" w:rsidRDefault="00510801" w:rsidP="00911C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FF24DB" wp14:editId="0F35A3AD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476250" cy="590550"/>
            <wp:effectExtent l="0" t="0" r="0" b="0"/>
            <wp:wrapSquare wrapText="left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АРХАНГЕЛЬСКОГО СЕЛЬСКОГО ПОСЕЛЕНИЯ </w:t>
      </w:r>
    </w:p>
    <w:p w:rsidR="00510801" w:rsidRPr="00510801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359B7" w:rsidRDefault="007359B7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0801" w:rsidRPr="00FA13EB" w:rsidRDefault="00510801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1CAE" w:rsidRDefault="00911CAE" w:rsidP="00911C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29.10.2018                                                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239</w:t>
      </w:r>
    </w:p>
    <w:p w:rsidR="007359B7" w:rsidRPr="00911CAE" w:rsidRDefault="00911CAE" w:rsidP="00911C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1CAE">
        <w:rPr>
          <w:rFonts w:ascii="Times New Roman" w:eastAsia="Calibri" w:hAnsi="Times New Roman" w:cs="Times New Roman"/>
          <w:sz w:val="24"/>
          <w:szCs w:val="24"/>
          <w:lang w:eastAsia="ar-SA"/>
        </w:rPr>
        <w:t>ст. Архангельская</w:t>
      </w:r>
    </w:p>
    <w:p w:rsidR="007359B7" w:rsidRDefault="007359B7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CAE" w:rsidRPr="00FA13EB" w:rsidRDefault="00911CAE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682" w:rsidRPr="00911CAE" w:rsidRDefault="007359B7" w:rsidP="00911C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Архангельского сельского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5E1CC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сентября 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9B7" w:rsidRPr="00911CAE" w:rsidRDefault="005E1CCB" w:rsidP="00911C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7359B7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r w:rsidR="0078154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9B7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59B7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59B7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 »</w:t>
      </w:r>
    </w:p>
    <w:p w:rsidR="008D2E57" w:rsidRPr="00911CAE" w:rsidRDefault="008D2E57" w:rsidP="00911CAE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911CAE" w:rsidRPr="00911CAE" w:rsidRDefault="00911CAE" w:rsidP="00911CAE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7359B7" w:rsidRPr="00FA13EB" w:rsidRDefault="007359B7" w:rsidP="00911CA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</w:t>
      </w:r>
      <w:r w:rsidRP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Архангельского сельского </w:t>
      </w:r>
      <w:r w:rsidRP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</w:t>
      </w:r>
      <w:r w:rsidRPr="00FA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78154B" w:rsidRPr="003E3263">
        <w:rPr>
          <w:rFonts w:ascii="Times New Roman" w:hAnsi="Times New Roman" w:cs="Times New Roman"/>
          <w:sz w:val="28"/>
          <w:szCs w:val="28"/>
        </w:rPr>
        <w:t>РЕШИЛ</w:t>
      </w:r>
      <w:r w:rsidR="0078154B">
        <w:rPr>
          <w:rFonts w:ascii="Times New Roman" w:hAnsi="Times New Roman" w:cs="Times New Roman"/>
          <w:sz w:val="28"/>
          <w:szCs w:val="28"/>
        </w:rPr>
        <w:t>:</w:t>
      </w:r>
    </w:p>
    <w:p w:rsidR="007359B7" w:rsidRPr="00FA13EB" w:rsidRDefault="007359B7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Архангельского сельского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>29 сентября 20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№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>128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изменениями от 25 декабря 2017 года №203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359B7" w:rsidRPr="00FA13EB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1.1.П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ункт </w:t>
      </w:r>
      <w:r w:rsidR="00D67A14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59B7" w:rsidRPr="00FA13EB" w:rsidRDefault="007359B7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5E1CCB" w:rsidRPr="00FA13EB" w:rsidRDefault="005E1CCB" w:rsidP="00911CA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FA13EB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FA13EB" w:rsidRDefault="007359B7" w:rsidP="00911CA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FA13EB" w:rsidRDefault="007359B7" w:rsidP="00911CA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911CA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911CAE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FA13EB" w:rsidTr="00994497">
        <w:trPr>
          <w:trHeight w:val="2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1</w:t>
            </w:r>
          </w:p>
          <w:p w:rsidR="007359B7" w:rsidRPr="00FA13EB" w:rsidRDefault="007359B7" w:rsidP="00911CAE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FA13EB" w:rsidRDefault="005E1CCB" w:rsidP="00911CAE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  <w:p w:rsidR="007359B7" w:rsidRPr="00FA13EB" w:rsidRDefault="007359B7" w:rsidP="00911CAE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FA13EB" w:rsidRDefault="007359B7" w:rsidP="00911CAE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Жилые дома, части жилых домов, </w:t>
            </w:r>
          </w:p>
          <w:p w:rsidR="007359B7" w:rsidRPr="00FA13EB" w:rsidRDefault="007359B7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FA13EB" w:rsidRDefault="007359B7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Default="007359B7" w:rsidP="00911C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  <w:p w:rsidR="005E1CCB" w:rsidRPr="00FA13EB" w:rsidRDefault="005E1CCB" w:rsidP="00911C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FA13EB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FA13EB" w:rsidRDefault="00D67A14" w:rsidP="00911CAE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  <w:p w:rsidR="007359B7" w:rsidRPr="00FA13EB" w:rsidRDefault="007359B7" w:rsidP="00911CA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D67A14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</w:t>
            </w:r>
            <w:r w:rsidR="005E1CCB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илые помещения (квартиры, комнаты), части квартир;</w:t>
            </w:r>
          </w:p>
        </w:tc>
      </w:tr>
      <w:tr w:rsidR="007359B7" w:rsidRPr="00FA13EB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FA13EB" w:rsidRDefault="00D67A14" w:rsidP="00911CAE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  <w:p w:rsidR="007359B7" w:rsidRPr="00FA13EB" w:rsidRDefault="007359B7" w:rsidP="00911CAE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FA13EB" w:rsidRDefault="007359B7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FA13EB" w:rsidRDefault="007359B7" w:rsidP="00911C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FA13EB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FA13EB" w:rsidRDefault="007359B7" w:rsidP="00911CAE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91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91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FA13EB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D67A14" w:rsidP="00911CAE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8F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Pr="00FA13EB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1.2.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67A14">
        <w:rPr>
          <w:rFonts w:ascii="Times New Roman" w:eastAsia="SimSun" w:hAnsi="Times New Roman" w:cs="Times New Roman"/>
          <w:sz w:val="28"/>
          <w:szCs w:val="28"/>
          <w:lang w:eastAsia="ru-RU"/>
        </w:rPr>
        <w:t>1.1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7359B7" w:rsidRPr="00FA13EB" w:rsidRDefault="00D67A14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359B7" w:rsidRPr="00FA13EB" w:rsidRDefault="007359B7" w:rsidP="00911CA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FA13EB" w:rsidTr="005E1CCB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FA13EB" w:rsidRDefault="007359B7" w:rsidP="00911CA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FA13EB" w:rsidRDefault="007359B7" w:rsidP="00911CA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911CA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911CAE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FA13EB" w:rsidTr="00994497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FA13EB" w:rsidRDefault="007359B7" w:rsidP="00911CAE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FA13EB" w:rsidRDefault="00D67A14" w:rsidP="00911CAE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14" w:rsidRPr="00FA13EB" w:rsidRDefault="00D67A14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Жилые дома, части жилых домов, </w:t>
            </w:r>
          </w:p>
          <w:p w:rsidR="00D67A14" w:rsidRPr="00FA13EB" w:rsidRDefault="00D67A14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</w:t>
            </w:r>
            <w:r w:rsidR="0005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53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дом;</w:t>
            </w:r>
          </w:p>
          <w:p w:rsidR="00D67A14" w:rsidRPr="00FA13EB" w:rsidRDefault="00D67A14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D67A14" w:rsidRDefault="00D67A14" w:rsidP="00911C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  <w:p w:rsidR="007359B7" w:rsidRPr="00FA13EB" w:rsidRDefault="00D67A14" w:rsidP="00911C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FA13EB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FA13EB" w:rsidRDefault="00D67A14" w:rsidP="00911CA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D67A14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комнаты, части квартир;</w:t>
            </w:r>
          </w:p>
        </w:tc>
      </w:tr>
      <w:tr w:rsidR="007359B7" w:rsidRPr="00FA13EB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FA13EB" w:rsidRDefault="00D67A14" w:rsidP="00911CAE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FA13EB" w:rsidRDefault="007359B7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FA13EB" w:rsidRDefault="007359B7" w:rsidP="00911C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FA13EB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FA13EB" w:rsidRDefault="007359B7" w:rsidP="00911CAE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91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A13EB" w:rsidRDefault="007359B7" w:rsidP="0091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FA13EB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D67A14" w:rsidP="00911CA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A13EB" w:rsidRDefault="007359B7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8F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1.3.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D67A14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.2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го содержания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7359B7" w:rsidRPr="00FA13EB" w:rsidRDefault="007359B7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D67A14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D67A14" w:rsidRPr="00FA13EB" w:rsidTr="003A5ABE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A14" w:rsidRPr="00FA13EB" w:rsidRDefault="00D67A14" w:rsidP="00911CA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A14" w:rsidRPr="00FA13EB" w:rsidRDefault="00D67A14" w:rsidP="00911CA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14" w:rsidRPr="00FA13EB" w:rsidRDefault="00D67A14" w:rsidP="00911CAE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14" w:rsidRPr="00FA13EB" w:rsidRDefault="00D67A14" w:rsidP="00911CAE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D67A14" w:rsidRPr="00FA13EB" w:rsidTr="003A5ABE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A14" w:rsidRPr="00FA13EB" w:rsidRDefault="00D67A14" w:rsidP="00911CAE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D67A14" w:rsidRPr="00FA13EB" w:rsidRDefault="00D67A14" w:rsidP="00911CAE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7A14" w:rsidRPr="00FA13EB" w:rsidRDefault="00D67A14" w:rsidP="00911CAE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14" w:rsidRPr="00FA13EB" w:rsidRDefault="00D67A14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Жилые дома, части жилых домов, </w:t>
            </w:r>
          </w:p>
          <w:p w:rsidR="00D67A14" w:rsidRPr="00FA13EB" w:rsidRDefault="00D67A14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</w:t>
            </w:r>
            <w:r w:rsidR="00C3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3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дом;</w:t>
            </w:r>
          </w:p>
          <w:p w:rsidR="00D67A14" w:rsidRPr="00FA13EB" w:rsidRDefault="00D67A14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D67A14" w:rsidRDefault="00D67A14" w:rsidP="00911C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  <w:p w:rsidR="00D67A14" w:rsidRPr="00FA13EB" w:rsidRDefault="00D67A14" w:rsidP="00911C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D67A14" w:rsidRPr="00FA13EB" w:rsidTr="003A5ABE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A14" w:rsidRPr="00FA13EB" w:rsidRDefault="00D67A14" w:rsidP="00911CA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67A14" w:rsidRPr="00FA13EB" w:rsidRDefault="00D67A14" w:rsidP="00911CA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14" w:rsidRPr="00FA13EB" w:rsidRDefault="00D67A14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комнаты, части квартир;</w:t>
            </w:r>
          </w:p>
        </w:tc>
      </w:tr>
      <w:tr w:rsidR="00D67A14" w:rsidRPr="00FA13EB" w:rsidTr="003A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A14" w:rsidRPr="00FA13EB" w:rsidRDefault="00D67A14" w:rsidP="00911CAE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A14" w:rsidRPr="00FA13EB" w:rsidRDefault="00D67A14" w:rsidP="00911CAE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14" w:rsidRPr="00FA13EB" w:rsidRDefault="00D67A14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D67A14" w:rsidRPr="00FA13EB" w:rsidRDefault="00D67A14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D67A14" w:rsidRPr="00FA13EB" w:rsidRDefault="00D67A14" w:rsidP="00911C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D67A14" w:rsidRPr="00FA13EB" w:rsidTr="003A5ABE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14" w:rsidRPr="00FA13EB" w:rsidRDefault="00D67A14" w:rsidP="00911CAE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14" w:rsidRPr="00FA13EB" w:rsidRDefault="00D67A14" w:rsidP="0091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14" w:rsidRPr="00FA13EB" w:rsidRDefault="00D67A14" w:rsidP="0091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A14" w:rsidRPr="00FA13EB" w:rsidTr="003A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14" w:rsidRPr="00FA13EB" w:rsidRDefault="00D67A14" w:rsidP="00911CAE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A14" w:rsidRPr="00FA13EB" w:rsidRDefault="00D67A14" w:rsidP="00911CA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14" w:rsidRPr="00FA13EB" w:rsidRDefault="00D67A14" w:rsidP="00911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8F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Pr="00FA13EB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Настоящее решение подлежит официальному опубликованию.</w:t>
      </w:r>
    </w:p>
    <w:p w:rsidR="007359B7" w:rsidRPr="00FA13EB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7359B7" w:rsidRPr="00FA13EB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D67A14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8D2E5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FA13EB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4.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Опубликовать настоящее решение в газете «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Тихорецкие вести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Совета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Архангельского сельского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района в информационно-телекоммуникационной сети «Интернет».</w:t>
      </w:r>
    </w:p>
    <w:p w:rsidR="008F6CA9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5.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</w:t>
      </w:r>
    </w:p>
    <w:p w:rsidR="007359B7" w:rsidRPr="00FA13EB" w:rsidRDefault="007359B7" w:rsidP="00911C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2017 </w:t>
      </w:r>
      <w:r w:rsidR="008D2E5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FA13EB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6.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="00ED3C3D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FA13EB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7.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7359B7" w:rsidRDefault="007359B7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P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 Архангельского</w:t>
      </w:r>
    </w:p>
    <w:p w:rsidR="0078154B" w:rsidRPr="00FA13E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 посел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ения Тихорецкого района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</w:t>
      </w: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Е.В.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Андрусенко      </w:t>
      </w:r>
    </w:p>
    <w:p w:rsid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50B21" w:rsidRDefault="007359B7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Архангельского сельского</w:t>
      </w:r>
    </w:p>
    <w:p w:rsidR="007359B7" w:rsidRPr="00FA13EB" w:rsidRDefault="00950B21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Е.М.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Абашкин</w:t>
      </w:r>
    </w:p>
    <w:p w:rsidR="00950B21" w:rsidRPr="00FA13EB" w:rsidRDefault="00950B21" w:rsidP="00911C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950B21" w:rsidRPr="00FA13EB" w:rsidRDefault="00950B21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C07A1F" w:rsidRPr="00FA13EB" w:rsidRDefault="003504B5" w:rsidP="00911C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7A1F" w:rsidRPr="00FA13EB" w:rsidSect="004B2C8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B5" w:rsidRDefault="003504B5" w:rsidP="004B2C88">
      <w:pPr>
        <w:spacing w:after="0" w:line="240" w:lineRule="auto"/>
      </w:pPr>
      <w:r>
        <w:separator/>
      </w:r>
    </w:p>
  </w:endnote>
  <w:endnote w:type="continuationSeparator" w:id="0">
    <w:p w:rsidR="003504B5" w:rsidRDefault="003504B5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B5" w:rsidRDefault="003504B5" w:rsidP="004B2C88">
      <w:pPr>
        <w:spacing w:after="0" w:line="240" w:lineRule="auto"/>
      </w:pPr>
      <w:r>
        <w:separator/>
      </w:r>
    </w:p>
  </w:footnote>
  <w:footnote w:type="continuationSeparator" w:id="0">
    <w:p w:rsidR="003504B5" w:rsidRDefault="003504B5" w:rsidP="004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16065"/>
      <w:docPartObj>
        <w:docPartGallery w:val="Page Numbers (Top of Page)"/>
        <w:docPartUnique/>
      </w:docPartObj>
    </w:sdtPr>
    <w:sdtEndPr/>
    <w:sdtContent>
      <w:p w:rsidR="004B2C88" w:rsidRDefault="004B2C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CAE">
          <w:rPr>
            <w:noProof/>
          </w:rPr>
          <w:t>4</w:t>
        </w:r>
        <w:r>
          <w:fldChar w:fldCharType="end"/>
        </w:r>
      </w:p>
    </w:sdtContent>
  </w:sdt>
  <w:p w:rsidR="004B2C88" w:rsidRDefault="004B2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53445"/>
    <w:rsid w:val="003504B5"/>
    <w:rsid w:val="00393AD2"/>
    <w:rsid w:val="00411410"/>
    <w:rsid w:val="004B2C88"/>
    <w:rsid w:val="00510801"/>
    <w:rsid w:val="0052174B"/>
    <w:rsid w:val="005E1CCB"/>
    <w:rsid w:val="007359B7"/>
    <w:rsid w:val="0078154B"/>
    <w:rsid w:val="007E4ECE"/>
    <w:rsid w:val="00831682"/>
    <w:rsid w:val="00876ED7"/>
    <w:rsid w:val="008D2E57"/>
    <w:rsid w:val="008F6CA9"/>
    <w:rsid w:val="00911CAE"/>
    <w:rsid w:val="00950B21"/>
    <w:rsid w:val="00C3140F"/>
    <w:rsid w:val="00C735B4"/>
    <w:rsid w:val="00D67A14"/>
    <w:rsid w:val="00D91DE2"/>
    <w:rsid w:val="00ED3C3D"/>
    <w:rsid w:val="00F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EE4E-AB77-4CA2-80F8-9C59DEB4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Черемисина</cp:lastModifiedBy>
  <cp:revision>6</cp:revision>
  <cp:lastPrinted>2018-10-31T05:32:00Z</cp:lastPrinted>
  <dcterms:created xsi:type="dcterms:W3CDTF">2018-10-18T10:39:00Z</dcterms:created>
  <dcterms:modified xsi:type="dcterms:W3CDTF">2018-10-31T05:32:00Z</dcterms:modified>
</cp:coreProperties>
</file>